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00"/>
        <w:jc w:val="center"/>
      </w:pPr>
      <w:r>
        <w:rPr>
          <w:rFonts w:ascii="Arial" w:cs="Arial" w:eastAsia="Arial" w:hAnsi="Arial"/>
          <w:b/>
          <w:bCs/>
          <w:caps/>
          <w:color w:val="c8a84b"/>
          <w:sz w:val="16"/>
          <w:szCs w:val="16"/>
        </w:rPr>
        <w:t xml:space="preserve">ORIGINAL RESEARCH ARTICLE</w:t>
      </w:r>
    </w:p>
    <w:p>
      <w:pPr>
        <w:spacing w:after="120" w:before="60"/>
        <w:jc w:val="center"/>
      </w:pPr>
      <w:r>
        <w:rPr>
          <w:rFonts w:ascii="Times New Roman" w:cs="Times New Roman" w:eastAsia="Times New Roman" w:hAnsi="Times New Roman"/>
          <w:b/>
          <w:bCs/>
          <w:color w:val="1a3a5c"/>
          <w:sz w:val="32"/>
          <w:szCs w:val="32"/>
        </w:rPr>
        <w:t xml:space="preserve">Investigating the Potential Effect of Water Composition on Cancer Cases in Indonesia</w:t>
      </w:r>
    </w:p>
    <w:p>
      <w:pPr>
        <w:spacing w:after="40" w:before="80"/>
        <w:jc w:val="center"/>
      </w:pPr>
      <w:r>
        <w:rPr>
          <w:rFonts w:ascii="Times New Roman" w:cs="Times New Roman" w:eastAsia="Times New Roman" w:hAnsi="Times New Roman"/>
          <w:b/>
          <w:bCs/>
          <w:color w:val="333333"/>
          <w:sz w:val="22"/>
          <w:szCs w:val="22"/>
        </w:rPr>
        <w:t xml:space="preserve">Clayton Oliver Wibowo</w:t>
      </w:r>
      <w:r>
        <w:rPr>
          <w:rFonts w:ascii="Times New Roman" w:cs="Times New Roman" w:eastAsia="Times New Roman" w:hAnsi="Times New Roman"/>
          <w:color w:val="1a3a5c"/>
          <w:sz w:val="16"/>
          <w:szCs w:val="16"/>
          <w:vertAlign w:val="superscript"/>
        </w:rPr>
        <w:t xml:space="preserve">¹</w:t>
      </w:r>
    </w:p>
    <w:p>
      <w:pPr>
        <w:spacing w:after="80" w:before="40"/>
        <w:jc w:val="center"/>
      </w:pPr>
      <w:r>
        <w:rPr>
          <w:rFonts w:ascii="Times New Roman" w:cs="Times New Roman" w:eastAsia="Times New Roman" w:hAnsi="Times New Roman"/>
          <w:i/>
          <w:iCs/>
          <w:color w:val="555555"/>
          <w:sz w:val="18"/>
          <w:szCs w:val="18"/>
        </w:rPr>
        <w:t xml:space="preserve">¹ Anglo-Chinese School (International), Singapore</w:t>
      </w:r>
      <w:r>
        <w:rPr>
          <w:rFonts w:ascii="Times New Roman" w:cs="Times New Roman" w:eastAsia="Times New Roman" w:hAnsi="Times New Roman"/>
          <w:color w:val="555555"/>
          <w:sz w:val="18"/>
          <w:szCs w:val="18"/>
        </w:rPr>
        <w:t xml:space="preserve">    |    Correspondence: </w:t>
      </w:r>
      <w:r>
        <w:rPr>
          <w:rFonts w:ascii="Times New Roman" w:cs="Times New Roman" w:eastAsia="Times New Roman" w:hAnsi="Times New Roman"/>
          <w:i/>
          <w:iCs/>
          <w:color w:val="1a3a5c"/>
          <w:sz w:val="18"/>
          <w:szCs w:val="18"/>
        </w:rPr>
        <w:t xml:space="preserve">clayton.wibowo@acsinternational.edu.sg</w:t>
      </w:r>
    </w:p>
    <w:p>
      <w:pPr>
        <w:pBdr>
          <w:bottom w:val="single" w:color="c8a84b" w:sz="2" w:space="1"/>
        </w:pBdr>
        <w:spacing w:after="160" w:before="1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f5f7fa" w:val="clear"/>
            <w:tcMar>
              <w:top w:type="dxa" w:w="120"/>
              <w:left w:type="dxa" w:w="180"/>
              <w:bottom w:type="dxa" w:w="120"/>
              <w:right w:type="dxa" w:w="180"/>
            </w:tcMar>
          </w:tcPr>
          <w:p>
            <w:r>
              <w:rPr>
                <w:rFonts w:ascii="Arial" w:cs="Arial" w:eastAsia="Arial" w:hAnsi="Arial"/>
                <w:b/>
                <w:bCs/>
                <w:color w:val="1a3a5c"/>
                <w:sz w:val="17"/>
                <w:szCs w:val="17"/>
              </w:rPr>
              <w:t xml:space="preserve">ARTICLE INFORMATION</w:t>
            </w:r>
          </w:p>
          <w:p>
            <w:pPr>
              <w:spacing w:after="40" w:before="40"/>
            </w:pPr>
            <w:r>
              <w:t xml:space="preserve"/>
            </w:r>
          </w:p>
          <w:p>
            <w:r>
              <w:rPr>
                <w:rFonts w:ascii="Arial" w:cs="Arial" w:eastAsia="Arial" w:hAnsi="Arial"/>
                <w:color w:val="333333"/>
                <w:sz w:val="16"/>
                <w:szCs w:val="16"/>
              </w:rPr>
              <w:t xml:space="preserve">Received:  March 2026</w:t>
            </w:r>
          </w:p>
          <w:p>
            <w:r>
              <w:rPr>
                <w:rFonts w:ascii="Arial" w:cs="Arial" w:eastAsia="Arial" w:hAnsi="Arial"/>
                <w:color w:val="333333"/>
                <w:sz w:val="16"/>
                <w:szCs w:val="16"/>
              </w:rPr>
              <w:t xml:space="preserve">Accepted:  May 2026</w:t>
            </w:r>
          </w:p>
          <w:p>
            <w:r>
              <w:rPr>
                <w:rFonts w:ascii="Arial" w:cs="Arial" w:eastAsia="Arial" w:hAnsi="Arial"/>
                <w:color w:val="333333"/>
                <w:sz w:val="16"/>
                <w:szCs w:val="16"/>
              </w:rPr>
              <w:t xml:space="preserve">Published: June 2026</w:t>
            </w:r>
          </w:p>
          <w:p>
            <w:pPr>
              <w:spacing w:after="40" w:before="40"/>
            </w:pPr>
            <w:r>
              <w:t xml:space="preserve"/>
            </w:r>
          </w:p>
          <w:p>
            <w:r>
              <w:rPr>
                <w:rFonts w:ascii="Arial" w:cs="Arial" w:eastAsia="Arial" w:hAnsi="Arial"/>
                <w:b/>
                <w:bCs/>
                <w:color w:val="1a3a5c"/>
                <w:sz w:val="16"/>
                <w:szCs w:val="16"/>
              </w:rPr>
              <w:t xml:space="preserve">DOI: 10.37229/fsa.fjb.2026.06.30</w:t>
            </w:r>
          </w:p>
        </w:tc>
        <w:tc>
          <w:tcPr>
            <w:tcW w:type="dxa" w:w="4513"/>
            <w:tcBorders>
              <w:top w:val="none" w:color="FFFFFF" w:sz="0"/>
              <w:left w:val="none" w:color="FFFFFF" w:sz="0"/>
              <w:bottom w:val="none" w:color="FFFFFF" w:sz="0"/>
              <w:right w:val="none" w:color="FFFFFF" w:sz="0"/>
            </w:tcBorders>
            <w:shd w:fill="f5f7fa" w:val="clear"/>
            <w:tcMar>
              <w:top w:type="dxa" w:w="120"/>
              <w:left w:type="dxa" w:w="180"/>
              <w:bottom w:type="dxa" w:w="120"/>
              <w:right w:type="dxa" w:w="180"/>
            </w:tcMar>
          </w:tcPr>
          <w:p>
            <w:r>
              <w:rPr>
                <w:rFonts w:ascii="Arial" w:cs="Arial" w:eastAsia="Arial" w:hAnsi="Arial"/>
                <w:b/>
                <w:bCs/>
                <w:color w:val="1a3a5c"/>
                <w:sz w:val="17"/>
                <w:szCs w:val="17"/>
              </w:rPr>
              <w:t xml:space="preserve">CITATION</w:t>
            </w:r>
          </w:p>
          <w:p>
            <w:pPr>
              <w:spacing w:after="40" w:before="40"/>
            </w:pPr>
            <w:r>
              <w:t xml:space="preserve"/>
            </w:r>
          </w:p>
          <w:p>
            <w:pPr>
              <w:jc w:val="both"/>
            </w:pPr>
            <w:r>
              <w:rPr>
                <w:rFonts w:ascii="Arial" w:cs="Arial" w:eastAsia="Arial" w:hAnsi="Arial"/>
                <w:color w:val="333333"/>
                <w:sz w:val="15"/>
                <w:szCs w:val="15"/>
              </w:rPr>
              <w:t xml:space="preserve">Wibowo, C.O. (2026). Investigating the Potential Effect of Water Composition on Cancer Cases in Indonesia. The Future Biology, 2026(1). https://doi.org/10.37229/fsa.fjb.2026.06.30</w:t>
            </w:r>
          </w:p>
        </w:tc>
      </w:tr>
    </w:tbl>
    <w:p>
      <w:pPr>
        <w:spacing w:after="120" w:before="12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1a3a5c" w:sz="12"/>
              <w:bottom w:val="none" w:color="FFFFFF" w:sz="0"/>
              <w:right w:val="none" w:color="FFFFFF" w:sz="0"/>
            </w:tcBorders>
            <w:shd w:fill="f5f7fa" w:val="clear"/>
            <w:tcMar>
              <w:top w:type="dxa" w:w="120"/>
              <w:left w:type="dxa" w:w="240"/>
              <w:bottom w:type="dxa" w:w="120"/>
              <w:right w:type="dxa" w:w="240"/>
            </w:tcMar>
          </w:tcPr>
          <w:p>
            <w:r>
              <w:rPr>
                <w:rFonts w:ascii="Arial" w:cs="Arial" w:eastAsia="Arial" w:hAnsi="Arial"/>
                <w:b/>
                <w:bCs/>
                <w:caps/>
                <w:color w:val="1a3a5c"/>
                <w:sz w:val="20"/>
                <w:szCs w:val="20"/>
              </w:rPr>
              <w:t xml:space="preserve">ABSTRACT</w:t>
            </w:r>
          </w:p>
          <w:p>
            <w:pPr>
              <w:spacing w:after="60" w:before="60"/>
            </w:pPr>
            <w:r>
              <w:t xml:space="preserve"/>
            </w:r>
          </w:p>
          <w:p>
            <w:pPr>
              <w:spacing w:after="0" w:line="264"/>
              <w:jc w:val="both"/>
            </w:pPr>
            <w:r>
              <w:rPr>
                <w:rFonts w:ascii="Times New Roman" w:cs="Times New Roman" w:eastAsia="Times New Roman" w:hAnsi="Times New Roman"/>
                <w:color w:val="333333"/>
                <w:sz w:val="19"/>
                <w:szCs w:val="19"/>
              </w:rPr>
              <w:t xml:space="preserve">Cancer is a disease to which both genetics and environmental factors contribute. This paper investigates how drinking-water composition might influence cancer risk in Indonesia by focusing on the tumour-suppressor gene TP53. It combines a literature review on cancer and heavy-metal contamination (especially arsenic, lead, cadmium, and chromium) linked to cancer, with in silico analyses of TP53 structure, as TP53 is a commonly cancer-related gene. The drinking-water composition may affect the mutation rate of TP53, leading to increased cancer risk. The paper also presents a conceptual CRISPR/Cas9 gene-editing design targeting an exon of TP53. The work hypothesises that chronic exposure to contaminated groundwater in parts of Indonesia could increase TP53 mutation pressure and disrupt p53-centred DNA-damage responses, potentially contributing to regional differences in cancer burden. This study aims to establish a framework by presenting protein features of TP53 and hypothetically designing a gene-editing strategy to support future investigations into the impact of water content on cancer disease mechanisms via TP53-related pathways.</w:t>
            </w:r>
          </w:p>
        </w:tc>
      </w:tr>
    </w:tbl>
    <w:p>
      <w:pPr>
        <w:spacing w:after="80" w:before="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1a3a5c" w:sz="4"/>
              <w:left w:val="none" w:color="FFFFFF" w:sz="0"/>
              <w:bottom w:val="single" w:color="1a3a5c" w:sz="4"/>
              <w:right w:val="none" w:color="FFFFFF" w:sz="0"/>
            </w:tcBorders>
            <w:shd w:fill="e8f0f8" w:val="clear"/>
            <w:tcMar>
              <w:top w:type="dxa" w:w="100"/>
              <w:left w:type="dxa" w:w="200"/>
              <w:bottom w:type="dxa" w:w="100"/>
              <w:right w:type="dxa" w:w="200"/>
            </w:tcMar>
          </w:tcPr>
          <w:p>
            <w:r>
              <w:rPr>
                <w:rFonts w:ascii="Times New Roman" w:cs="Times New Roman" w:eastAsia="Times New Roman" w:hAnsi="Times New Roman"/>
                <w:b/>
                <w:bCs/>
                <w:color w:val="1a3a5c"/>
                <w:sz w:val="18"/>
                <w:szCs w:val="18"/>
              </w:rPr>
              <w:t xml:space="preserve">Keywords:  </w:t>
            </w:r>
            <w:r>
              <w:rPr>
                <w:rFonts w:ascii="Times New Roman" w:cs="Times New Roman" w:eastAsia="Times New Roman" w:hAnsi="Times New Roman"/>
                <w:color w:val="333333"/>
                <w:sz w:val="18"/>
                <w:szCs w:val="18"/>
              </w:rPr>
              <w:t xml:space="preserve">cancer, arsenic, lead, cadmium, chromium, TP53 gene, Indonesia, water contamination, groundwater, CRISPR/Cas9</w:t>
            </w:r>
          </w:p>
        </w:tc>
      </w:tr>
    </w:tbl>
    <w:p>
      <w:pPr>
        <w:spacing w:after="80" w:before="120"/>
      </w:pPr>
      <w:r>
        <w:t xml:space="preserve"/>
      </w:r>
    </w:p>
    <w:p>
      <w:pPr>
        <w:pBdr>
          <w:bottom w:val="single" w:color="c8a84b" w:sz="4" w:space="6"/>
        </w:pBdr>
        <w:spacing w:after="120" w:before="300"/>
      </w:pPr>
      <w:r>
        <w:rPr>
          <w:rFonts w:ascii="Times New Roman" w:cs="Times New Roman" w:eastAsia="Times New Roman" w:hAnsi="Times New Roman"/>
          <w:b/>
          <w:bCs/>
          <w:color w:val="1a3a5c"/>
          <w:sz w:val="24"/>
          <w:szCs w:val="24"/>
        </w:rPr>
        <w:t xml:space="preserve">1. Introduction</w:t>
      </w:r>
    </w:p>
    <w:p>
      <w:pPr>
        <w:spacing w:after="120" w:line="276"/>
        <w:jc w:val="both"/>
      </w:pPr>
      <w:r>
        <w:rPr>
          <w:rFonts w:ascii="Times New Roman" w:cs="Times New Roman" w:eastAsia="Times New Roman" w:hAnsi="Times New Roman"/>
          <w:color w:val="333333"/>
          <w:sz w:val="20"/>
          <w:szCs w:val="20"/>
        </w:rPr>
        <w:t xml:space="preserve">Cancer represents a broad category of diseases involving uncontrolled cell proliferation. The disease involves genetic and environmental factors that contribute to the occurrence of abnormal cells, which multiply rapidly, forming tumours that can invade surrounding tissues and metastasise via blood or lymph systems (NCI Dictionary of Cancer Terms, n.d.). Cancer arises from genetic mutations in oncogenes, which promote growth, and tumour-suppressor genes, which inhibit it (Baba &amp; Câtoi, 2007). Cancers are categorised by cell of origin: carcinomas (epithelial tissues), sarcomas (connective tissues), leukaemias (bone marrow), lymphomas and myelomas (immune cells).</w:t>
      </w:r>
    </w:p>
    <w:p>
      <w:pPr>
        <w:spacing w:after="120" w:line="276"/>
        <w:jc w:val="both"/>
      </w:pPr>
      <w:r>
        <w:rPr>
          <w:rFonts w:ascii="Times New Roman" w:cs="Times New Roman" w:eastAsia="Times New Roman" w:hAnsi="Times New Roman"/>
          <w:color w:val="333333"/>
          <w:sz w:val="20"/>
          <w:szCs w:val="20"/>
        </w:rPr>
        <w:t xml:space="preserve">Most cancers progress through stages I–IV, from localised growth (T1–T2) to regional lymph node involvement (T3, N0–3) and distant metastasis (T4, M0–1). Metastasis follows sequential steps: local invasion, intravasation into vessels, circulation, extravasation, proliferation, and new angiogenesis, often targeting lungs, liver, bones, or brain. Early detection improves outcomes, as advanced stages cause most deaths. Diagnosis involves biopsies, imaging (CT, MRI), and biomarkers to confirm malignancy and stage. Treatments include surgery for localised tumours, chemotherapy to target dividing cells, radiation for precise destruction, immunotherapy to harness immune response, and targeted therapies blocking specific mutations such as BCR-ABL in leukaemia or oestrogen receptors in breast cancer (Debela et al., 2021).</w:t>
      </w:r>
    </w:p>
    <w:p>
      <w:pPr>
        <w:spacing w:after="160" w:before="80"/>
        <w:jc w:val="left"/>
      </w:pPr>
      <w:r>
        <w:rPr>
          <w:rFonts w:ascii="Times New Roman" w:cs="Times New Roman" w:eastAsia="Times New Roman" w:hAnsi="Times New Roman"/>
          <w:i/>
          <w:iCs/>
          <w:color w:val="555555"/>
          <w:sz w:val="18"/>
          <w:szCs w:val="18"/>
        </w:rPr>
        <w:t xml:space="preserve">Figure 1. Example diagram of stages of colon cancer from T1 to T4. T1: Clinically inapparent; tumour not palpable or visible by imaging. T2: Tumour confined within the prostate. T3: Tumour extends through the prostatic capsule. T4: Tumour has spread to adjacent tissues. N0–3 (Regional lymph nodes) and M0–1 (Distant metastasis) stages are described in detail in the text (Staging Prostate Cancer, 2020).</w:t>
      </w:r>
    </w:p>
    <w:p>
      <w:pPr>
        <w:spacing w:after="120" w:line="276"/>
        <w:jc w:val="both"/>
      </w:pPr>
      <w:r>
        <w:rPr>
          <w:rFonts w:ascii="Times New Roman" w:cs="Times New Roman" w:eastAsia="Times New Roman" w:hAnsi="Times New Roman"/>
          <w:color w:val="333333"/>
          <w:sz w:val="20"/>
          <w:szCs w:val="20"/>
        </w:rPr>
        <w:t xml:space="preserve">In 2022, there were approximately 20 million new cancer cases and 9.7 million cancer deaths worldwide. Around 1 in 5 people will develop cancer during their lifetime, and roughly 1 in 9 men and 1 in 12 women die from it. Lung cancer is currently the most frequently diagnosed cancer globally, with approximately 2.5 million new cases in 2022, comprising roughly 12% of all cancers. Female breast cancer is a close second (~2.3 million cases, 11.6%), followed by colorectal, prostate, and stomach cancers (World Health Organization: WHO, 2025). In parts of South and Southeast Asia, naturally occurring arsenic in groundwater is one of the best-documented environmental carcinogens in drinking water. Chronic ingestion of elevated arsenic is strongly associated with skin cancers (basal cell and squamous cell carcinoma) and increased risks of bladder, kidney, liver, lung, and prostate cancers (Luby, 2008).</w:t>
      </w:r>
    </w:p>
    <w:p>
      <w:pPr>
        <w:spacing w:after="120" w:line="276"/>
        <w:jc w:val="both"/>
      </w:pPr>
      <w:r>
        <w:rPr>
          <w:rFonts w:ascii="Times New Roman" w:cs="Times New Roman" w:eastAsia="Times New Roman" w:hAnsi="Times New Roman"/>
          <w:color w:val="333333"/>
          <w:sz w:val="20"/>
          <w:szCs w:val="20"/>
        </w:rPr>
        <w:t xml:space="preserve">A recent regional risk assessment of heavy metals in Asian drinking water found that Southeast Asia had the highest estimated total cancer risk from metals (approximately 2.18 × 10⁻⁴, roughly 2 additional cases per 10,000 people over a lifetime), higher than South, West, Central, and East Asia. That analysis focused on arsenic, lead, mercury, cadmium, chromium, and nickel; lung cancer was the dominant predicted outcome, accounting for 85–94% of the modelled cancer risk burden (Shorif et al., 2025).</w:t>
      </w:r>
    </w:p>
    <w:p>
      <w:pPr>
        <w:spacing w:after="120" w:line="276"/>
        <w:jc w:val="both"/>
      </w:pPr>
      <w:r>
        <w:rPr>
          <w:rFonts w:ascii="Times New Roman" w:cs="Times New Roman" w:eastAsia="Times New Roman" w:hAnsi="Times New Roman"/>
          <w:color w:val="333333"/>
          <w:sz w:val="20"/>
          <w:szCs w:val="20"/>
        </w:rPr>
        <w:t xml:space="preserve">In Indonesia, cancer is now the third-highest cause of death nationwide. In 2022, GLOBOCAN estimated approximately 408,661 new cancer cases and 242,988 cancer deaths. The overall age-standardised incidence rate is approximately 37 cases per 100,000 people per year. The most common cancer types (accounting for both sexes) are breast, lung, cervix uteri, colorectum, and liver (Gondhowiardjo et al., 2021c). Breast cancer accounts for approximately a quarter of all cancers in women, whereas men most commonly develop lung cancer, followed by colorectal, liver, and prostate cancers. Incidence rates have also increased from approximately 1.4% of the population in 2013 to 1.49% in 2018, with certain regions such as Yogyakarta exhibiting a 4–5% incidence rate (Anggraeni et al., 2024).</w:t>
      </w:r>
    </w:p>
    <w:p>
      <w:pPr>
        <w:spacing w:after="120" w:line="276"/>
        <w:jc w:val="both"/>
      </w:pPr>
      <w:r>
        <w:rPr>
          <w:rFonts w:ascii="Times New Roman" w:cs="Times New Roman" w:eastAsia="Times New Roman" w:hAnsi="Times New Roman"/>
          <w:color w:val="333333"/>
          <w:sz w:val="20"/>
          <w:szCs w:val="20"/>
        </w:rPr>
        <w:t xml:space="preserve">Chronic exposure to groundwater heavy metals such as chromium, lead, and arsenic poses significant carcinogenic risks through multiple mechanisms, including DNA damage, oxidative stress, and epigenetic disruption. Arsenic (IARC Group 1 carcinogen) is the most potent, strongly linked to skin, lung, bladder, kidney, and liver cancers via inhibition of DNA repair enzymes and chromosomal instability (Radfard et al., 2023). Chromium, particularly hexavalent Cr(VI), drives lung, nasal, and sinus cancers by entering cells as chromate ions, generating reactive oxygen species (ROS), and forming DNA adducts; coal ash contamination sites have shown groundwater Cr(VI) levels thousands of times above safe limits (Earthjustice, 2022).</w:t>
      </w:r>
    </w:p>
    <w:p>
      <w:pPr>
        <w:spacing w:after="120" w:line="276"/>
        <w:jc w:val="both"/>
      </w:pPr>
      <w:r>
        <w:rPr>
          <w:rFonts w:ascii="Times New Roman" w:cs="Times New Roman" w:eastAsia="Times New Roman" w:hAnsi="Times New Roman"/>
          <w:color w:val="333333"/>
          <w:sz w:val="20"/>
          <w:szCs w:val="20"/>
        </w:rPr>
        <w:t xml:space="preserve">Genetic predisposition combines with environmental triggers such as toxic water, tobacco, UV radiation, infections (e.g., HPV, hepatitis), obesity, and alcohol (World Health Organization, 2007). Epigenetic changes and defects in tissue regulation amplify risks, with driver mutations (3–4 key ones) amid passenger mutations fuelling cancer progression (Bernstein, 2013). Key tumour-suppressor genes (e.g., TP53, RB1, APC, BRCA1/2) normally act as brakes on the cell cycle, promote DNA repair, or trigger apoptosis; their loss removes key safeguards, creating the permissive environment for uncontrolled proliferation characteristic of cancer.</w:t>
      </w:r>
    </w:p>
    <w:p>
      <w:pPr>
        <w:spacing w:after="120" w:line="276"/>
        <w:jc w:val="both"/>
      </w:pPr>
      <w:r>
        <w:rPr>
          <w:rFonts w:ascii="Times New Roman" w:cs="Times New Roman" w:eastAsia="Times New Roman" w:hAnsi="Times New Roman"/>
          <w:color w:val="333333"/>
          <w:sz w:val="20"/>
          <w:szCs w:val="20"/>
        </w:rPr>
        <w:t xml:space="preserve">Across cancers, several mutations recur so frequently that they are considered hallmark 'driver' events. TP53, which encodes the p53 protein regulator, is mutated in more than half of human cancers, including many lung, colorectal, breast, and ovarian cancers (Malkin, 2011b). A review comparing the TP53 mutation spectra in Iran, India, and Pakistan concluded that specific TP53 hotspot mutations overlap with areas known to have heavy-metal contamination (arsenic, cadmium, copper, zinc, nickel) (Pouladi et al., 2021), indirectly supporting the hypothesis that TP53 is affected and mutated by heavy-metal contamination.</w:t>
      </w:r>
    </w:p>
    <w:p>
      <w:pPr>
        <w:spacing w:after="120" w:line="276"/>
        <w:jc w:val="both"/>
      </w:pPr>
      <w:r>
        <w:rPr>
          <w:rFonts w:ascii="Times New Roman" w:cs="Times New Roman" w:eastAsia="Times New Roman" w:hAnsi="Times New Roman"/>
          <w:color w:val="333333"/>
          <w:sz w:val="20"/>
          <w:szCs w:val="20"/>
        </w:rPr>
        <w:t xml:space="preserve">CRISPR/Cas9 gene editing is a toolbox built from a bacterial immune system that enables scientists to cut and rewrite DNA at chosen sequences with high precision. It uses two main components: a guide RNA (gRNA) that recognises a 20-base target sequence in the genome, and a Cas9 nuclease that makes a cut in the DNA a few bases upstream of the PAM sequence. Once Cas9, directed by the gRNA, binds its target, it introduces a double-strand break (DSB), which the cell must repair (Rabaan et al., 2023). Clinically, CRISPR has been used ex vivo to edit T cells for cancer immunotherapy, including approaches targeting focused-ultrasound-inducible CRISPR systems that activate editing only in heated tumour regions (Lei et al., 2024).</w:t>
      </w:r>
    </w:p>
    <w:p>
      <w:pPr>
        <w:spacing w:after="80" w:before="200"/>
      </w:pPr>
      <w:r>
        <w:rPr>
          <w:rFonts w:ascii="Times New Roman" w:cs="Times New Roman" w:eastAsia="Times New Roman" w:hAnsi="Times New Roman"/>
          <w:b/>
          <w:bCs/>
          <w:color w:val="1a3a5c"/>
          <w:sz w:val="22"/>
          <w:szCs w:val="22"/>
        </w:rPr>
        <w:t xml:space="preserve">1.1 Aim of the Study</w:t>
      </w:r>
    </w:p>
    <w:p>
      <w:pPr>
        <w:spacing w:after="120" w:line="276"/>
        <w:jc w:val="both"/>
      </w:pPr>
      <w:r>
        <w:rPr>
          <w:rFonts w:ascii="Times New Roman" w:cs="Times New Roman" w:eastAsia="Times New Roman" w:hAnsi="Times New Roman"/>
          <w:color w:val="333333"/>
          <w:sz w:val="20"/>
          <w:szCs w:val="20"/>
        </w:rPr>
        <w:t xml:space="preserve">The aim of this study is to investigate whether drinking-water composition in the Republic of Indonesia could contribute to variation in cancer risk, with a particular focus on heavy metals and related contaminants that may induce mutations in key genes such as TP53. This paper combines in silico analysis of TP53 protein structure and conservation with a narrative review of regional water-quality and cancer-epidemiology data to explore how water-borne exposures in Indonesia might differentially shape the mutational pressures acting on tumour suppressor pathways. A hypothetical CRISPR/Cas9 gene-editing strategy is also designed as a framework for future experimental studies.</w:t>
      </w:r>
    </w:p>
    <w:p>
      <w:pPr>
        <w:pBdr>
          <w:bottom w:val="single" w:color="c8a84b" w:sz="4" w:space="6"/>
        </w:pBdr>
        <w:spacing w:after="120" w:before="300"/>
      </w:pPr>
      <w:r>
        <w:rPr>
          <w:rFonts w:ascii="Times New Roman" w:cs="Times New Roman" w:eastAsia="Times New Roman" w:hAnsi="Times New Roman"/>
          <w:b/>
          <w:bCs/>
          <w:color w:val="1a3a5c"/>
          <w:sz w:val="24"/>
          <w:szCs w:val="24"/>
        </w:rPr>
        <w:t xml:space="preserve">2. Materials and Methods</w:t>
      </w:r>
    </w:p>
    <w:p>
      <w:pPr>
        <w:spacing w:after="120" w:line="276"/>
        <w:jc w:val="both"/>
      </w:pPr>
      <w:r>
        <w:rPr>
          <w:rFonts w:ascii="Times New Roman" w:cs="Times New Roman" w:eastAsia="Times New Roman" w:hAnsi="Times New Roman"/>
          <w:color w:val="333333"/>
          <w:sz w:val="20"/>
          <w:szCs w:val="20"/>
        </w:rPr>
        <w:t xml:space="preserve">The following publicly available bioinformatics tools and databases were used in this study:</w:t>
      </w:r>
    </w:p>
    <w:p>
      <w:pPr>
        <w:spacing w:after="120" w:line="276"/>
        <w:jc w:val="both"/>
      </w:pPr>
      <w:r>
        <w:rPr>
          <w:rFonts w:ascii="Times New Roman" w:cs="Times New Roman" w:eastAsia="Times New Roman" w:hAnsi="Times New Roman"/>
          <w:b/>
          <w:bCs/>
          <w:color w:val="333333"/>
          <w:sz w:val="20"/>
          <w:szCs w:val="20"/>
        </w:rPr>
        <w:t xml:space="preserve">NCBI</w:t>
      </w:r>
      <w:r>
        <w:rPr>
          <w:rFonts w:ascii="Times New Roman" w:cs="Times New Roman" w:eastAsia="Times New Roman" w:hAnsi="Times New Roman"/>
          <w:color w:val="333333"/>
          <w:sz w:val="20"/>
          <w:szCs w:val="20"/>
        </w:rPr>
        <w:t xml:space="preserve">: The United States National Institutes of Health database was used to obtain reference sequences and basic gene information for TP53, including genomic coordinates and protein sequences, accessed via NCBI Gene and Nucleotide databases (search: 'TP53 Homo sapiens').</w:t>
      </w:r>
    </w:p>
    <w:p>
      <w:pPr>
        <w:spacing w:after="120" w:line="276"/>
        <w:jc w:val="both"/>
      </w:pPr>
      <w:r>
        <w:rPr>
          <w:rFonts w:ascii="Times New Roman" w:cs="Times New Roman" w:eastAsia="Times New Roman" w:hAnsi="Times New Roman"/>
          <w:b/>
          <w:bCs/>
          <w:color w:val="333333"/>
          <w:sz w:val="20"/>
          <w:szCs w:val="20"/>
        </w:rPr>
        <w:t xml:space="preserve">Ensembl</w:t>
      </w:r>
      <w:r>
        <w:rPr>
          <w:rFonts w:ascii="Times New Roman" w:cs="Times New Roman" w:eastAsia="Times New Roman" w:hAnsi="Times New Roman"/>
          <w:color w:val="333333"/>
          <w:sz w:val="20"/>
          <w:szCs w:val="20"/>
        </w:rPr>
        <w:t xml:space="preserve">: The European Bioinformatics Institute genome browser was used to retrieve TP53 exon/intron structure, chromosomal context on 17p13.1, and orthologous gene annotations for use in SnapGene visualisation.</w:t>
      </w:r>
    </w:p>
    <w:p>
      <w:pPr>
        <w:spacing w:after="120" w:line="276"/>
        <w:jc w:val="both"/>
      </w:pPr>
      <w:r>
        <w:rPr>
          <w:rFonts w:ascii="Times New Roman" w:cs="Times New Roman" w:eastAsia="Times New Roman" w:hAnsi="Times New Roman"/>
          <w:b/>
          <w:bCs/>
          <w:color w:val="333333"/>
          <w:sz w:val="20"/>
          <w:szCs w:val="20"/>
        </w:rPr>
        <w:t xml:space="preserve">TMHMM 2.0</w:t>
      </w:r>
      <w:r>
        <w:rPr>
          <w:rFonts w:ascii="Times New Roman" w:cs="Times New Roman" w:eastAsia="Times New Roman" w:hAnsi="Times New Roman"/>
          <w:color w:val="333333"/>
          <w:sz w:val="20"/>
          <w:szCs w:val="20"/>
        </w:rPr>
        <w:t xml:space="preserve">: A free web-based server for predicting transmembrane helices in amino-acid sequences. The full TP53 amino-acid sequence and a selected mutant TP53 sequence were submitted to confirm membrane localisation status.</w:t>
      </w:r>
    </w:p>
    <w:p>
      <w:pPr>
        <w:spacing w:after="120" w:line="276"/>
        <w:jc w:val="both"/>
      </w:pPr>
      <w:r>
        <w:rPr>
          <w:rFonts w:ascii="Times New Roman" w:cs="Times New Roman" w:eastAsia="Times New Roman" w:hAnsi="Times New Roman"/>
          <w:b/>
          <w:bCs/>
          <w:color w:val="333333"/>
          <w:sz w:val="20"/>
          <w:szCs w:val="20"/>
        </w:rPr>
        <w:t xml:space="preserve">Clustal Omega</w:t>
      </w:r>
      <w:r>
        <w:rPr>
          <w:rFonts w:ascii="Times New Roman" w:cs="Times New Roman" w:eastAsia="Times New Roman" w:hAnsi="Times New Roman"/>
          <w:color w:val="333333"/>
          <w:sz w:val="20"/>
          <w:szCs w:val="20"/>
        </w:rPr>
        <w:t xml:space="preserve">: A multiple sequence alignment (MSA) program used to align TP53 FASTA sequences from human, chimpanzee, mouse, chicken, and zebrafish, using default parameters to identify conserved regions across vertebrates.</w:t>
      </w:r>
    </w:p>
    <w:p>
      <w:pPr>
        <w:spacing w:after="120" w:line="276"/>
        <w:jc w:val="both"/>
      </w:pPr>
      <w:r>
        <w:rPr>
          <w:rFonts w:ascii="Times New Roman" w:cs="Times New Roman" w:eastAsia="Times New Roman" w:hAnsi="Times New Roman"/>
          <w:b/>
          <w:bCs/>
          <w:color w:val="333333"/>
          <w:sz w:val="20"/>
          <w:szCs w:val="20"/>
        </w:rPr>
        <w:t xml:space="preserve">SnapGene</w:t>
      </w:r>
      <w:r>
        <w:rPr>
          <w:rFonts w:ascii="Times New Roman" w:cs="Times New Roman" w:eastAsia="Times New Roman" w:hAnsi="Times New Roman"/>
          <w:color w:val="333333"/>
          <w:sz w:val="20"/>
          <w:szCs w:val="20"/>
        </w:rPr>
        <w:t xml:space="preserve">: A commercial application used to visualise and annotate the TP53 gene map, including exons, introns, primer sites, guide RNA position, PAM sequence, and Cas9 cut site for the hypothetical CRISPR/Cas9 design.</w:t>
      </w:r>
    </w:p>
    <w:p>
      <w:pPr>
        <w:spacing w:after="120" w:line="276"/>
        <w:jc w:val="both"/>
      </w:pPr>
      <w:r>
        <w:rPr>
          <w:rFonts w:ascii="Times New Roman" w:cs="Times New Roman" w:eastAsia="Times New Roman" w:hAnsi="Times New Roman"/>
          <w:b/>
          <w:bCs/>
          <w:color w:val="333333"/>
          <w:sz w:val="20"/>
          <w:szCs w:val="20"/>
        </w:rPr>
        <w:t xml:space="preserve">STRING</w:t>
      </w:r>
      <w:r>
        <w:rPr>
          <w:rFonts w:ascii="Times New Roman" w:cs="Times New Roman" w:eastAsia="Times New Roman" w:hAnsi="Times New Roman"/>
          <w:color w:val="333333"/>
          <w:sz w:val="20"/>
          <w:szCs w:val="20"/>
        </w:rPr>
        <w:t xml:space="preserve">: The Search Tool for the Retrieval of Interacting Genes/Proteins database was queried using human TP53 protein identifier (ENSP00000269305) to generate a high-confidence protein–protein interaction (PPI) network.</w:t>
      </w:r>
    </w:p>
    <w:p>
      <w:pPr>
        <w:spacing w:after="120" w:line="276"/>
        <w:jc w:val="both"/>
      </w:pPr>
      <w:r>
        <w:rPr>
          <w:rFonts w:ascii="Times New Roman" w:cs="Times New Roman" w:eastAsia="Times New Roman" w:hAnsi="Times New Roman"/>
          <w:b/>
          <w:bCs/>
          <w:color w:val="333333"/>
          <w:sz w:val="20"/>
          <w:szCs w:val="20"/>
        </w:rPr>
        <w:t xml:space="preserve">CRISPR Finder (Sanger)</w:t>
      </w:r>
      <w:r>
        <w:rPr>
          <w:rFonts w:ascii="Times New Roman" w:cs="Times New Roman" w:eastAsia="Times New Roman" w:hAnsi="Times New Roman"/>
          <w:color w:val="333333"/>
          <w:sz w:val="20"/>
          <w:szCs w:val="20"/>
        </w:rPr>
        <w:t xml:space="preserve">: A Wellcome Sanger Institute tool used to identify candidate guide RNAs targeting TP53 exons, ranked by off-target scores (targeting minimum mismatches: 0 mismatches = 1 result, 1 mismatch = 0, 2 mismatches = 0).</w:t>
      </w:r>
    </w:p>
    <w:p>
      <w:pPr>
        <w:pBdr>
          <w:bottom w:val="single" w:color="c8a84b" w:sz="4" w:space="6"/>
        </w:pBdr>
        <w:spacing w:after="120" w:before="300"/>
      </w:pPr>
      <w:r>
        <w:rPr>
          <w:rFonts w:ascii="Times New Roman" w:cs="Times New Roman" w:eastAsia="Times New Roman" w:hAnsi="Times New Roman"/>
          <w:b/>
          <w:bCs/>
          <w:color w:val="1a3a5c"/>
          <w:sz w:val="24"/>
          <w:szCs w:val="24"/>
        </w:rPr>
        <w:t xml:space="preserve">3. Results</w:t>
      </w:r>
    </w:p>
    <w:p>
      <w:pPr>
        <w:spacing w:after="80" w:before="200"/>
      </w:pPr>
      <w:r>
        <w:rPr>
          <w:rFonts w:ascii="Times New Roman" w:cs="Times New Roman" w:eastAsia="Times New Roman" w:hAnsi="Times New Roman"/>
          <w:b/>
          <w:bCs/>
          <w:color w:val="1a3a5c"/>
          <w:sz w:val="22"/>
          <w:szCs w:val="22"/>
        </w:rPr>
        <w:t xml:space="preserve">3.1 TP53 Does Not Contain Transmembrane Domains</w:t>
      </w:r>
    </w:p>
    <w:p>
      <w:pPr>
        <w:spacing w:after="120" w:line="276"/>
        <w:jc w:val="both"/>
      </w:pPr>
      <w:r>
        <w:rPr>
          <w:rFonts w:ascii="Times New Roman" w:cs="Times New Roman" w:eastAsia="Times New Roman" w:hAnsi="Times New Roman"/>
          <w:color w:val="333333"/>
          <w:sz w:val="20"/>
          <w:szCs w:val="20"/>
        </w:rPr>
        <w:t xml:space="preserve">TMHMM 2.0 was used to test whether TP53 is a transmembrane protein, which is important for understanding how p53 exerts its tumour-suppressor function. The amino-acid sequence of TP53 (and a selected mutant TP53 sequence) were submitted to TMHMM. The output showed no predicted transmembrane helices and classified TP53 as a non-membrane (soluble) protein, consistent with its known localisation in the nucleus and cytoplasm rather than in lipid bilayers (Krogh et al., 2001).</w:t>
      </w:r>
    </w:p>
    <w:p>
      <w:pPr>
        <w:spacing w:after="160" w:before="80"/>
        <w:jc w:val="left"/>
      </w:pPr>
      <w:r>
        <w:rPr>
          <w:rFonts w:ascii="Times New Roman" w:cs="Times New Roman" w:eastAsia="Times New Roman" w:hAnsi="Times New Roman"/>
          <w:i/>
          <w:iCs/>
          <w:color w:val="555555"/>
          <w:sz w:val="18"/>
          <w:szCs w:val="18"/>
        </w:rPr>
        <w:t xml:space="preserve">Figure 2. TMHMM analysis of TP53 wild type. The plot shows residue position along the x-axis and the probability of each segment being in a particular environment on the y-axis. Regions coloured purple represent predicted transmembrane helices; blue indicates intramembrane segments; yellow indicates cytoplasmic segments. The absence of any continuous purple block demonstrates that TP53 lacks transmembrane domains.</w:t>
      </w:r>
    </w:p>
    <w:p>
      <w:pPr>
        <w:spacing w:after="160" w:before="80"/>
        <w:jc w:val="left"/>
      </w:pPr>
      <w:r>
        <w:rPr>
          <w:rFonts w:ascii="Times New Roman" w:cs="Times New Roman" w:eastAsia="Times New Roman" w:hAnsi="Times New Roman"/>
          <w:i/>
          <w:iCs/>
          <w:color w:val="555555"/>
          <w:sz w:val="18"/>
          <w:szCs w:val="18"/>
        </w:rPr>
        <w:t xml:space="preserve">Figure 3. TMHMM analysis of mutant TP53. As with the wild type, the mutant TP53 sequence shows no predicted transmembrane helices, confirming it remains a non-membrane protein.</w:t>
      </w:r>
    </w:p>
    <w:p>
      <w:pPr>
        <w:spacing w:after="120" w:line="276"/>
        <w:jc w:val="both"/>
      </w:pPr>
      <w:r>
        <w:rPr>
          <w:rFonts w:ascii="Times New Roman" w:cs="Times New Roman" w:eastAsia="Times New Roman" w:hAnsi="Times New Roman"/>
          <w:color w:val="333333"/>
          <w:sz w:val="20"/>
          <w:szCs w:val="20"/>
        </w:rPr>
        <w:t xml:space="preserve">Because TMHMM can distinguish membrane proteins with very high sensitivity and specificity, the absence of any predicted transmembrane segment in TP53 strengthens the hypothesis that water-composition-related effects on p53 and cancer risk may act through DNA damage and mutation in soluble nuclear protein, rather than through changes in membrane topology.</w:t>
      </w:r>
    </w:p>
    <w:p>
      <w:pPr>
        <w:spacing w:after="80" w:before="200"/>
      </w:pPr>
      <w:r>
        <w:rPr>
          <w:rFonts w:ascii="Times New Roman" w:cs="Times New Roman" w:eastAsia="Times New Roman" w:hAnsi="Times New Roman"/>
          <w:b/>
          <w:bCs/>
          <w:color w:val="1a3a5c"/>
          <w:sz w:val="22"/>
          <w:szCs w:val="22"/>
        </w:rPr>
        <w:t xml:space="preserve">3.2 TP53 Is Highly Conserved Across Vertebrates</w:t>
      </w:r>
    </w:p>
    <w:p>
      <w:pPr>
        <w:spacing w:after="120" w:line="276"/>
        <w:jc w:val="both"/>
      </w:pPr>
      <w:r>
        <w:rPr>
          <w:rFonts w:ascii="Times New Roman" w:cs="Times New Roman" w:eastAsia="Times New Roman" w:hAnsi="Times New Roman"/>
          <w:color w:val="333333"/>
          <w:sz w:val="20"/>
          <w:szCs w:val="20"/>
        </w:rPr>
        <w:t xml:space="preserve">Clustal Omega was used to perform multiple sequence alignment (MSA) of TP53 orthologue proteins across vertebrate species. FASTA sequences of TP53 from human (Homo sapiens), chimpanzee (Pan troglodytes), mouse (Mus musculus), chicken (Gallus gallus), and zebrafish (Danio rerio) were retrieved from the NCBI protein database and submitted to Clustal Omega with default parameters.</w:t>
      </w:r>
    </w:p>
    <w:p>
      <w:pPr>
        <w:spacing w:after="120" w:line="276"/>
        <w:jc w:val="both"/>
      </w:pPr>
      <w:r>
        <w:rPr>
          <w:rFonts w:ascii="Times New Roman" w:cs="Times New Roman" w:eastAsia="Times New Roman" w:hAnsi="Times New Roman"/>
          <w:color w:val="333333"/>
          <w:sz w:val="20"/>
          <w:szCs w:val="20"/>
        </w:rPr>
        <w:t xml:space="preserve">The analysis showed that TP53 is highly conserved across vertebrates (Figure 4), with 90–98% amino-acid identity between human and chimpanzee, mouse, and chicken orthologues, particularly in the DNA-binding domain (residues ~100–300) where many cancer-associated mutations cluster. This finding confirms that TP53 is a tumour suppressor preserved across diverse species, making it a robust target for comparative studies and therapeutic strategies. In the context of environmental exposures in Indonesia, water-borne mutagens such as arsenic or lead, which damage DNA indiscriminately, could disrupt p53 function similarly in any vertebrate population, suggesting that regional cancer burden differences reflect exposure differences rather than genetic divergence in p53 itself.</w:t>
      </w:r>
    </w:p>
    <w:p>
      <w:pPr>
        <w:spacing w:after="160" w:before="80"/>
        <w:jc w:val="left"/>
      </w:pPr>
      <w:r>
        <w:rPr>
          <w:rFonts w:ascii="Times New Roman" w:cs="Times New Roman" w:eastAsia="Times New Roman" w:hAnsi="Times New Roman"/>
          <w:i/>
          <w:iCs/>
          <w:color w:val="555555"/>
          <w:sz w:val="18"/>
          <w:szCs w:val="18"/>
        </w:rPr>
        <w:t xml:space="preserve">Figure 4. Clustal Omega multiple protein alignment of TP53 across human, chimpanzee, mouse, chicken, and zebrafish. Amino acids are colour-coded by biochemical properties. Conservation is indicated by symbols below the alignment: asterisks (*) mark columns where all five sequences have identical amino acids; colons (:) mark strong similarities; periods (.) mark weak similarities; blank spaces show no similarity.</w:t>
      </w:r>
    </w:p>
    <w:p>
      <w:pPr>
        <w:spacing w:after="80" w:before="200"/>
      </w:pPr>
      <w:r>
        <w:rPr>
          <w:rFonts w:ascii="Times New Roman" w:cs="Times New Roman" w:eastAsia="Times New Roman" w:hAnsi="Times New Roman"/>
          <w:b/>
          <w:bCs/>
          <w:color w:val="1a3a5c"/>
          <w:sz w:val="22"/>
          <w:szCs w:val="22"/>
        </w:rPr>
        <w:t xml:space="preserve">3.3 Protein–Protein Interaction Network of TP53</w:t>
      </w:r>
    </w:p>
    <w:p>
      <w:pPr>
        <w:spacing w:after="120" w:line="276"/>
        <w:jc w:val="both"/>
      </w:pPr>
      <w:r>
        <w:rPr>
          <w:rFonts w:ascii="Times New Roman" w:cs="Times New Roman" w:eastAsia="Times New Roman" w:hAnsi="Times New Roman"/>
          <w:color w:val="333333"/>
          <w:sz w:val="20"/>
          <w:szCs w:val="20"/>
        </w:rPr>
        <w:t xml:space="preserve">The STRING database was queried using the human TP53 protein identifier (ENSP00000269305) to generate a high-confidence protein–protein interaction (PPI) network (Figure 5). This analysis was conducted to map p53's functional partners and reveal how environmental stressors might disrupt not just TP53 itself but its broader cellular pathway.</w:t>
      </w:r>
    </w:p>
    <w:p>
      <w:pPr>
        <w:spacing w:after="120" w:line="276"/>
        <w:jc w:val="both"/>
      </w:pPr>
      <w:r>
        <w:rPr>
          <w:rFonts w:ascii="Times New Roman" w:cs="Times New Roman" w:eastAsia="Times New Roman" w:hAnsi="Times New Roman"/>
          <w:color w:val="333333"/>
          <w:sz w:val="20"/>
          <w:szCs w:val="20"/>
        </w:rPr>
        <w:t xml:space="preserve">Key interactors include: MDM2 (E3 ubiquitin ligase forming a critical negative feedback loop); ATM (apical DNA damage kinase phosphorylating p53 at Ser15 after double-strand breaks); EP300 and CREBBP (histone acetyltransferases that acetylate p53 lysine residues); SIRT1 (NAD⁺-dependent deacetylase linking nutrient status to stress responses); RPA1 (replication protein coating single-stranded DNA during repair); SFN/14-3-3σ (promoting nuclear retention and G1 cell-cycle arrest); TP53BP2/ASPP (driving apoptosis); DAXX (scaffolding p53 complexes at gene promoters); and HSP90AA1 (molecular chaperone required for proper p53 folding).</w:t>
      </w:r>
    </w:p>
    <w:p>
      <w:pPr>
        <w:spacing w:after="160" w:before="80"/>
        <w:jc w:val="left"/>
      </w:pPr>
      <w:r>
        <w:rPr>
          <w:rFonts w:ascii="Times New Roman" w:cs="Times New Roman" w:eastAsia="Times New Roman" w:hAnsi="Times New Roman"/>
          <w:i/>
          <w:iCs/>
          <w:color w:val="555555"/>
          <w:sz w:val="18"/>
          <w:szCs w:val="18"/>
        </w:rPr>
        <w:t xml:space="preserve">Figure 5. Protein–protein interaction map of TP53. The network displays TP53 as a bright red central node connected by thick multicoloured edges to nine major interactors. Line colour encodes interaction evidence type; line thickness indicates confidence score (&gt;0.7 typically).</w:t>
      </w:r>
    </w:p>
    <w:p>
      <w:pPr>
        <w:spacing w:after="80" w:before="200"/>
      </w:pPr>
      <w:r>
        <w:rPr>
          <w:rFonts w:ascii="Times New Roman" w:cs="Times New Roman" w:eastAsia="Times New Roman" w:hAnsi="Times New Roman"/>
          <w:b/>
          <w:bCs/>
          <w:color w:val="1a3a5c"/>
          <w:sz w:val="22"/>
          <w:szCs w:val="22"/>
        </w:rPr>
        <w:t xml:space="preserve">3.4 CRISPR/Cas9 Gene-Editing Design for TP53</w:t>
      </w:r>
    </w:p>
    <w:p>
      <w:pPr>
        <w:spacing w:after="120" w:line="276"/>
        <w:jc w:val="both"/>
      </w:pPr>
      <w:r>
        <w:rPr>
          <w:rFonts w:ascii="Times New Roman" w:cs="Times New Roman" w:eastAsia="Times New Roman" w:hAnsi="Times New Roman"/>
          <w:color w:val="333333"/>
          <w:sz w:val="20"/>
          <w:szCs w:val="20"/>
        </w:rPr>
        <w:t xml:space="preserve">Using SnapGene software and CRISPR Finder (Sanger Institute), a computationally annotated CRISPR/Cas9 gene-editing design was developed for specific exons of the human TP53 gene (Figures 6–7). Starting from the TP53 genome sequence (NCBI Gene ID: 7157), exon/intron structure was retrieved from Ensembl, and guide RNAs targeting the selected exon were identified using CRISPR Finder, selecting those with the lowest possible off-target scores (0 mismatches = 1, 1 mismatch = 0, 2 mismatches = 0). Two PCR primers were designed flanking the target region to generate a hypothetical amplicon of 295 bp for genotyping.</w:t>
      </w:r>
    </w:p>
    <w:p>
      <w:pPr>
        <w:spacing w:after="160" w:before="80"/>
        <w:jc w:val="left"/>
      </w:pPr>
      <w:r>
        <w:rPr>
          <w:rFonts w:ascii="Times New Roman" w:cs="Times New Roman" w:eastAsia="Times New Roman" w:hAnsi="Times New Roman"/>
          <w:i/>
          <w:iCs/>
          <w:color w:val="555555"/>
          <w:sz w:val="18"/>
          <w:szCs w:val="18"/>
        </w:rPr>
        <w:t xml:space="preserve">Figure 6. Chromosomal location of TP53. The schematic shows a segment of chromosome 17 (NC_000017.11) with genome coordinates from approximately 7.61 Mb to 7.83 Mb. TP53 appears as a blue left-pointing arrow adjacent to neighbouring genes such as WRAP53, SHBG, SAT2, and ATP1B2.</w:t>
      </w:r>
    </w:p>
    <w:p>
      <w:pPr>
        <w:spacing w:after="160" w:before="80"/>
        <w:jc w:val="left"/>
      </w:pPr>
      <w:r>
        <w:rPr>
          <w:rFonts w:ascii="Times New Roman" w:cs="Times New Roman" w:eastAsia="Times New Roman" w:hAnsi="Times New Roman"/>
          <w:i/>
          <w:iCs/>
          <w:color w:val="555555"/>
          <w:sz w:val="18"/>
          <w:szCs w:val="18"/>
        </w:rPr>
        <w:t xml:space="preserve">Figure 7. SnapGene view of CRISPR/Cas9 gene editing of TP53. Two PCR primers (Primer 1 and Primer 2, pink) are shown flanking the target region. Exon blocks are shown as coloured rectangles (dark purple for coding exons, grey lines for introns). Guide RNA (light blue) and the Cas9 cut point (green) are marked relative to the PAM sequence (yellow). Primer 1 and Primer 2 amplify a fragment of 295 bp.</w:t>
      </w:r>
    </w:p>
    <w:p>
      <w:pPr>
        <w:spacing w:after="80" w:before="200"/>
      </w:pPr>
      <w:r>
        <w:rPr>
          <w:rFonts w:ascii="Times New Roman" w:cs="Times New Roman" w:eastAsia="Times New Roman" w:hAnsi="Times New Roman"/>
          <w:b/>
          <w:bCs/>
          <w:color w:val="1a3a5c"/>
          <w:sz w:val="22"/>
          <w:szCs w:val="22"/>
        </w:rPr>
        <w:t xml:space="preserve">3.5 Simulated DNA Gel Electrophoresis for CRISPR/Cas9 Gene Editing</w:t>
      </w:r>
    </w:p>
    <w:p>
      <w:pPr>
        <w:spacing w:after="120" w:line="276"/>
        <w:jc w:val="both"/>
      </w:pPr>
      <w:r>
        <w:rPr>
          <w:rFonts w:ascii="Times New Roman" w:cs="Times New Roman" w:eastAsia="Times New Roman" w:hAnsi="Times New Roman"/>
          <w:color w:val="333333"/>
          <w:sz w:val="20"/>
          <w:szCs w:val="20"/>
        </w:rPr>
        <w:t xml:space="preserve">To visualise expected CRISPR/Cas9 editing outcomes, a simulated DNA gel electrophoresis was performed (Figure 8). Following hypothetical PCR amplification of the TP53 target region, the following simulated outcomes were modelled: Sample 1 (wild type) produces a single band at 295 bp; Sample 2 shows a band at 195 bp (100 bp deletion); Sample 3 shows a band at 395 bp (100 bp insertion); Samples 4 and 5 show bands at 294 bp and 296 bp, representing 1-nucleotide deletion and insertion, respectively. DNA gel electrophoresis would be followed by Sanger sequencing to confirm editing outcomes at single-nucleotide resolution.</w:t>
      </w:r>
    </w:p>
    <w:p>
      <w:pPr>
        <w:spacing w:after="160" w:before="80"/>
        <w:jc w:val="left"/>
      </w:pPr>
      <w:r>
        <w:rPr>
          <w:rFonts w:ascii="Times New Roman" w:cs="Times New Roman" w:eastAsia="Times New Roman" w:hAnsi="Times New Roman"/>
          <w:i/>
          <w:iCs/>
          <w:color w:val="555555"/>
          <w:sz w:val="18"/>
          <w:szCs w:val="18"/>
        </w:rPr>
        <w:t xml:space="preserve">Figure 8. Simulation of DNA gel electrophoresis for expected CRISPR/Cas9 gene editing of TP53. A DNA ladder (50–800 bp) is shown in the leftmost lane. Five sample lanes demonstrate expected fragment size shifts corresponding to wild-type (295 bp), deletion (195 bp), insertion (395 bp), 1-nt deletion (294 bp), and 1-nt insertion (296 bp).</w:t>
      </w:r>
    </w:p>
    <w:p>
      <w:pPr>
        <w:pBdr>
          <w:bottom w:val="single" w:color="c8a84b" w:sz="4" w:space="6"/>
        </w:pBdr>
        <w:spacing w:after="120" w:before="300"/>
      </w:pPr>
      <w:r>
        <w:rPr>
          <w:rFonts w:ascii="Times New Roman" w:cs="Times New Roman" w:eastAsia="Times New Roman" w:hAnsi="Times New Roman"/>
          <w:b/>
          <w:bCs/>
          <w:color w:val="1a3a5c"/>
          <w:sz w:val="24"/>
          <w:szCs w:val="24"/>
        </w:rPr>
        <w:t xml:space="preserve">4. Discussion</w:t>
      </w:r>
    </w:p>
    <w:p>
      <w:pPr>
        <w:spacing w:after="120" w:line="276"/>
        <w:jc w:val="both"/>
      </w:pPr>
      <w:r>
        <w:rPr>
          <w:rFonts w:ascii="Times New Roman" w:cs="Times New Roman" w:eastAsia="Times New Roman" w:hAnsi="Times New Roman"/>
          <w:color w:val="333333"/>
          <w:sz w:val="20"/>
          <w:szCs w:val="20"/>
        </w:rPr>
        <w:t xml:space="preserve">Cancer is one of the leading causes of death worldwide, but its patterns differ markedly between high-income regions such as Europe and rapidly developing countries like Indonesia. Common cancers in many European countries include breast, colorectal, lung, and prostate cancers, with widespread screening programmes (mammography, colorectal screening, HPV vaccination) improving survival and stabilising or reducing mortality in several Western European states.</w:t>
      </w:r>
    </w:p>
    <w:p>
      <w:pPr>
        <w:spacing w:after="120" w:line="276"/>
        <w:jc w:val="both"/>
      </w:pPr>
      <w:r>
        <w:rPr>
          <w:rFonts w:ascii="Times New Roman" w:cs="Times New Roman" w:eastAsia="Times New Roman" w:hAnsi="Times New Roman"/>
          <w:color w:val="333333"/>
          <w:sz w:val="20"/>
          <w:szCs w:val="20"/>
        </w:rPr>
        <w:t xml:space="preserve">By contrast, Indonesia shows a lower overall incidence rate but a high and increasing mortality burden, reflecting later-stage diagnosis and more limited access to specialised care. Cervical cancer remains particularly prominent, as Indonesia has one of the highest cervical cancer burdens in ASEAN, with many women presenting at stage III–IV disease (Bray et al., 2024). Indonesia's groundwater heavy metals (arsenic, chromium) most likely amplify mutation burdens in genes such as TP53 (Gondhowiardjo et al., 2021), contributing to higher infection- and pollution-related cancers compared with Europe's cleaner water and regulated industry.</w:t>
      </w:r>
    </w:p>
    <w:p>
      <w:pPr>
        <w:spacing w:after="120" w:line="276"/>
        <w:jc w:val="both"/>
      </w:pPr>
      <w:r>
        <w:rPr>
          <w:rFonts w:ascii="Times New Roman" w:cs="Times New Roman" w:eastAsia="Times New Roman" w:hAnsi="Times New Roman"/>
          <w:color w:val="333333"/>
          <w:sz w:val="20"/>
          <w:szCs w:val="20"/>
        </w:rPr>
        <w:t xml:space="preserve">This research combines cancer biology, environmental exposure data, and in silico analysis to propose a framework for studying the potential link between water composition and TP53-driven cancer risk in Indonesia. The hypothesis is that heavy-metal pollution of groundwater (arsenic, lead, cadmium, chromium) drives DNA damage in the p53 pathway. The demonstration that TP53 is strongly conserved among vertebrate species (Figure 4) and centrally positioned in a dense interaction network (Figure 5) supports the proposal that environmental pressures can target this single genetic hub, indirectly affecting the entire network of TP53-interacting proteins.</w:t>
      </w:r>
    </w:p>
    <w:p>
      <w:pPr>
        <w:spacing w:after="120" w:line="276"/>
        <w:jc w:val="both"/>
      </w:pPr>
      <w:r>
        <w:rPr>
          <w:rFonts w:ascii="Times New Roman" w:cs="Times New Roman" w:eastAsia="Times New Roman" w:hAnsi="Times New Roman"/>
          <w:color w:val="333333"/>
          <w:sz w:val="20"/>
          <w:szCs w:val="20"/>
        </w:rPr>
        <w:t xml:space="preserve">For the scientific field, this work contributes in three ways. First, it synthesises evidence that arsenic and other metals in Southeast Asian drinking water reach levels associated with increased risks of skin, bladder, lung, and liver cancers, supporting prioritisation of water quality improvement as a public health intervention. Second, through TMHMM, Clustal Omega, and STRING analyses, it demonstrates that p53 is a non-membrane, evolutionarily conserved protein whose function and interaction network are vulnerable to any agent that chronically damages DNA. Third, the CRISPR/SnapGene and gel-simulation work establishes a specific methodological framework that future wet-lab projects could adopt using real samples from exposed versus unexposed populations.</w:t>
      </w:r>
    </w:p>
    <w:p>
      <w:pPr>
        <w:spacing w:after="120" w:line="276"/>
        <w:jc w:val="both"/>
      </w:pPr>
      <w:r>
        <w:rPr>
          <w:rFonts w:ascii="Times New Roman" w:cs="Times New Roman" w:eastAsia="Times New Roman" w:hAnsi="Times New Roman"/>
          <w:color w:val="333333"/>
          <w:sz w:val="20"/>
          <w:szCs w:val="20"/>
        </w:rPr>
        <w:t xml:space="preserve">Important limitations of this study must be acknowledged. The paper is entirely in silico and narrative; no actual water measurements, tumour sequencing, or cell experiments were performed, so all links between heavy-metal contamination, TP53 mutations, and regional cancer patterns remain hypothetical pending experimental validation. Cancer data available for Indonesia are hospital-based and incomplete, and confounding factors (tobacco, infections, diet) differ substantially between Indonesia and Europe, making it difficult to isolate water composition as a singular driver of cancer risk. Methodologically, tools such as TMHMM, Clustal Omega, and STRING rely on predictions and curated databases and do not capture tissue-specific expression or post-translational modifications in exposed versus unexposed individuals. Future studies should incorporate actual national registry data, field water-quality sampling, and tumour TP53 sequencing from Indonesian patients.</w:t>
      </w:r>
    </w:p>
    <w:p>
      <w:pPr>
        <w:pBdr>
          <w:bottom w:val="single" w:color="c8a84b" w:sz="4" w:space="6"/>
        </w:pBdr>
        <w:spacing w:after="120" w:before="300"/>
      </w:pPr>
      <w:r>
        <w:rPr>
          <w:rFonts w:ascii="Times New Roman" w:cs="Times New Roman" w:eastAsia="Times New Roman" w:hAnsi="Times New Roman"/>
          <w:b/>
          <w:bCs/>
          <w:color w:val="1a3a5c"/>
          <w:sz w:val="24"/>
          <w:szCs w:val="24"/>
        </w:rPr>
        <w:t xml:space="preserve">5. Conclusion</w:t>
      </w:r>
    </w:p>
    <w:p>
      <w:pPr>
        <w:spacing w:after="120" w:line="276"/>
        <w:jc w:val="both"/>
      </w:pPr>
      <w:r>
        <w:rPr>
          <w:rFonts w:ascii="Times New Roman" w:cs="Times New Roman" w:eastAsia="Times New Roman" w:hAnsi="Times New Roman"/>
          <w:color w:val="333333"/>
          <w:sz w:val="20"/>
          <w:szCs w:val="20"/>
        </w:rPr>
        <w:t xml:space="preserve">This paper argues that cancer risk is shaped not only by inherited genes but also by the quality of drinking water. Heavy metals such as arsenic and other pollutants present in some Indonesian water sources create a mutagenic environment that can damage crucial tumour-suppressor genes such as TP53. By demonstrating that p53 is highly conserved, central to a dense interaction network, and vulnerable to DNA-damaging exposures, this work establishes water safety as a genuine cancer-prevention priority. Although the work is conceptual and based on existing data, it outlines a clear roadmap for future measurements and studies. The key message is that protecting the p53 pathway — and thereby cancer prevention — requires infrastructure and governmental policies that keep environmental carcinogens out of everyday drinking water.</w:t>
      </w:r>
    </w:p>
    <w:p>
      <w:pPr>
        <w:spacing w:after="80" w:before="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f5f7fa" w:val="clear"/>
            <w:tcMar>
              <w:top w:type="dxa" w:w="100"/>
              <w:left w:type="dxa" w:w="200"/>
              <w:bottom w:type="dxa" w:w="100"/>
              <w:right w:type="dxa" w:w="200"/>
            </w:tcMar>
          </w:tcPr>
          <w:p>
            <w:r>
              <w:rPr>
                <w:rFonts w:ascii="Times New Roman" w:cs="Times New Roman" w:eastAsia="Times New Roman" w:hAnsi="Times New Roman"/>
                <w:b/>
                <w:bCs/>
                <w:color w:val="1a3a5c"/>
                <w:sz w:val="18"/>
                <w:szCs w:val="18"/>
              </w:rPr>
              <w:t xml:space="preserve">Author Contributions</w:t>
            </w:r>
          </w:p>
          <w:p>
            <w:pPr>
              <w:spacing w:after="0"/>
            </w:pPr>
            <w:r>
              <w:rPr>
                <w:rFonts w:ascii="Times New Roman" w:cs="Times New Roman" w:eastAsia="Times New Roman" w:hAnsi="Times New Roman"/>
                <w:color w:val="333333"/>
                <w:sz w:val="17"/>
                <w:szCs w:val="17"/>
              </w:rPr>
              <w:t xml:space="preserve">Conceptualization, C.O.W.; Methodology, C.O.W.; Software, C.O.W.; Formal Analysis, C.O.W.; Investigation, C.O.W.; Writing — Original Draft Preparation, C.O.W.; Writing — Review &amp; Editing, C.O.W.; Visualization, C.O.W.</w:t>
            </w:r>
          </w:p>
          <w:p>
            <w:pPr>
              <w:spacing w:after="0" w:before="80"/>
            </w:pPr>
            <w:r>
              <w:t xml:space="preserve"/>
            </w:r>
          </w:p>
          <w:p>
            <w:r>
              <w:rPr>
                <w:rFonts w:ascii="Times New Roman" w:cs="Times New Roman" w:eastAsia="Times New Roman" w:hAnsi="Times New Roman"/>
                <w:b/>
                <w:bCs/>
                <w:color w:val="1a3a5c"/>
                <w:sz w:val="18"/>
                <w:szCs w:val="18"/>
              </w:rPr>
              <w:t xml:space="preserve">Funding</w:t>
            </w:r>
          </w:p>
          <w:p>
            <w:pPr>
              <w:spacing w:after="0"/>
            </w:pPr>
            <w:r>
              <w:rPr>
                <w:rFonts w:ascii="Times New Roman" w:cs="Times New Roman" w:eastAsia="Times New Roman" w:hAnsi="Times New Roman"/>
                <w:color w:val="333333"/>
                <w:sz w:val="17"/>
                <w:szCs w:val="17"/>
              </w:rPr>
              <w:t xml:space="preserve">This research received no external funding.</w:t>
            </w:r>
          </w:p>
          <w:p>
            <w:pPr>
              <w:spacing w:after="0" w:before="80"/>
            </w:pPr>
            <w:r>
              <w:t xml:space="preserve"/>
            </w:r>
          </w:p>
          <w:p>
            <w:r>
              <w:rPr>
                <w:rFonts w:ascii="Times New Roman" w:cs="Times New Roman" w:eastAsia="Times New Roman" w:hAnsi="Times New Roman"/>
                <w:b/>
                <w:bCs/>
                <w:color w:val="1a3a5c"/>
                <w:sz w:val="18"/>
                <w:szCs w:val="18"/>
              </w:rPr>
              <w:t xml:space="preserve">Data Availability Statement</w:t>
            </w:r>
          </w:p>
          <w:p>
            <w:pPr>
              <w:spacing w:after="0"/>
            </w:pPr>
            <w:r>
              <w:rPr>
                <w:rFonts w:ascii="Times New Roman" w:cs="Times New Roman" w:eastAsia="Times New Roman" w:hAnsi="Times New Roman"/>
                <w:color w:val="333333"/>
                <w:sz w:val="17"/>
                <w:szCs w:val="17"/>
              </w:rPr>
              <w:t xml:space="preserve">No new experimental data were generated in this study. All analyses were performed using publicly accessible databases (NCBI, Ensembl, TMHMM 2.0, Clustal Omega, STRING, CRISPR Finder) and commercially available software (SnapGene). Data sharing is not applicable to this article.</w:t>
            </w:r>
          </w:p>
          <w:p>
            <w:pPr>
              <w:spacing w:after="0" w:before="80"/>
            </w:pPr>
            <w:r>
              <w:t xml:space="preserve"/>
            </w:r>
          </w:p>
          <w:p>
            <w:r>
              <w:rPr>
                <w:rFonts w:ascii="Times New Roman" w:cs="Times New Roman" w:eastAsia="Times New Roman" w:hAnsi="Times New Roman"/>
                <w:b/>
                <w:bCs/>
                <w:color w:val="1a3a5c"/>
                <w:sz w:val="18"/>
                <w:szCs w:val="18"/>
              </w:rPr>
              <w:t xml:space="preserve">Conflicts of Interest</w:t>
            </w:r>
          </w:p>
          <w:p>
            <w:pPr>
              <w:spacing w:after="0"/>
            </w:pPr>
            <w:r>
              <w:rPr>
                <w:rFonts w:ascii="Times New Roman" w:cs="Times New Roman" w:eastAsia="Times New Roman" w:hAnsi="Times New Roman"/>
                <w:color w:val="333333"/>
                <w:sz w:val="17"/>
                <w:szCs w:val="17"/>
              </w:rPr>
              <w:t xml:space="preserve">The author declares no conflict of interest.</w:t>
            </w:r>
          </w:p>
        </w:tc>
      </w:tr>
    </w:tbl>
    <w:p>
      <w:pPr>
        <w:spacing w:after="80" w:before="120"/>
      </w:pPr>
      <w:r>
        <w:t xml:space="preserve"/>
      </w:r>
    </w:p>
    <w:p>
      <w:pPr>
        <w:pBdr>
          <w:bottom w:val="single" w:color="c8a84b" w:sz="4" w:space="6"/>
        </w:pBdr>
        <w:spacing w:after="120" w:before="300"/>
      </w:pPr>
      <w:r>
        <w:rPr>
          <w:rFonts w:ascii="Times New Roman" w:cs="Times New Roman" w:eastAsia="Times New Roman" w:hAnsi="Times New Roman"/>
          <w:b/>
          <w:bCs/>
          <w:color w:val="1a3a5c"/>
          <w:sz w:val="24"/>
          <w:szCs w:val="24"/>
        </w:rPr>
        <w:t xml:space="preserve">References</w:t>
      </w:r>
    </w:p>
    <w:p>
      <w:pPr>
        <w:spacing w:after="80"/>
        <w:ind w:left="360" w:hanging="360"/>
        <w:jc w:val="both"/>
      </w:pPr>
      <w:r>
        <w:rPr>
          <w:rFonts w:ascii="Times New Roman" w:cs="Times New Roman" w:eastAsia="Times New Roman" w:hAnsi="Times New Roman"/>
          <w:color w:val="333333"/>
          <w:sz w:val="18"/>
          <w:szCs w:val="18"/>
        </w:rPr>
        <w:t xml:space="preserve">Anggraeni, T. D., Nugroho, H., Harsono, A. B., Utami, T. W., &amp; Tjokroprawiro, B. A. (2024). Indonesian Society of Gynecologic Oncology Cancer Registration Information System: 10 years of implementation, challenge, and future. JCO Global Oncology, 10(10), e2400176. https://doi.org/10.1200/go.24.00176</w:t>
      </w:r>
    </w:p>
    <w:p>
      <w:pPr>
        <w:spacing w:after="80"/>
        <w:ind w:left="360" w:hanging="360"/>
        <w:jc w:val="both"/>
      </w:pPr>
      <w:r>
        <w:rPr>
          <w:rFonts w:ascii="Times New Roman" w:cs="Times New Roman" w:eastAsia="Times New Roman" w:hAnsi="Times New Roman"/>
          <w:color w:val="333333"/>
          <w:sz w:val="18"/>
          <w:szCs w:val="18"/>
        </w:rPr>
        <w:t xml:space="preserve">Aubrey, B. J., Strasser, A., &amp; Kelly, G. L. (2016). Tumor-suppressor functions of the TP53 pathway. Cold Spring Harbor Perspectives in Medicine, 6(5), a026062. https://doi.org/10.1101/cshperspect.a026062</w:t>
      </w:r>
    </w:p>
    <w:p>
      <w:pPr>
        <w:spacing w:after="80"/>
        <w:ind w:left="360" w:hanging="360"/>
        <w:jc w:val="both"/>
      </w:pPr>
      <w:r>
        <w:rPr>
          <w:rFonts w:ascii="Times New Roman" w:cs="Times New Roman" w:eastAsia="Times New Roman" w:hAnsi="Times New Roman"/>
          <w:color w:val="333333"/>
          <w:sz w:val="18"/>
          <w:szCs w:val="18"/>
        </w:rPr>
        <w:t xml:space="preserve">Baba, A. I., &amp; Câtoi, C. (2007). Tumor cell morphology. Comparative Oncology. NCBI Bookshelf. https://www.ncbi.nlm.nih.gov/books/NBK9553/</w:t>
      </w:r>
    </w:p>
    <w:p>
      <w:pPr>
        <w:spacing w:after="80"/>
        <w:ind w:left="360" w:hanging="360"/>
        <w:jc w:val="both"/>
      </w:pPr>
      <w:r>
        <w:rPr>
          <w:rFonts w:ascii="Times New Roman" w:cs="Times New Roman" w:eastAsia="Times New Roman" w:hAnsi="Times New Roman"/>
          <w:color w:val="333333"/>
          <w:sz w:val="18"/>
          <w:szCs w:val="18"/>
        </w:rPr>
        <w:t xml:space="preserve">Bernstein, C. (2013). Epigenetic field defects in progression to cancer. World Journal of Gastrointestinal Oncology, 5(3), 43. https://doi.org/10.4251/wjgo.v5.i3.43</w:t>
      </w:r>
    </w:p>
    <w:p>
      <w:pPr>
        <w:spacing w:after="80"/>
        <w:ind w:left="360" w:hanging="360"/>
        <w:jc w:val="both"/>
      </w:pPr>
      <w:r>
        <w:rPr>
          <w:rFonts w:ascii="Times New Roman" w:cs="Times New Roman" w:eastAsia="Times New Roman" w:hAnsi="Times New Roman"/>
          <w:color w:val="333333"/>
          <w:sz w:val="18"/>
          <w:szCs w:val="18"/>
        </w:rPr>
        <w:t xml:space="preserve">Bray, F., Laversanne, M., Sung, H., Ferlay, J., Siegel, R. L., Soerjomataram, I., &amp; Jemal, A. (2024). Global cancer statistics 2022: GLOBOCAN estimates of incidence and mortality worldwide for 36 cancers in 185 countries. CA: A Cancer Journal for Clinicians, 74(3), 229–263. https://doi.org/10.3322/caac.21834</w:t>
      </w:r>
    </w:p>
    <w:p>
      <w:pPr>
        <w:spacing w:after="80"/>
        <w:ind w:left="360" w:hanging="360"/>
        <w:jc w:val="both"/>
      </w:pPr>
      <w:r>
        <w:rPr>
          <w:rFonts w:ascii="Times New Roman" w:cs="Times New Roman" w:eastAsia="Times New Roman" w:hAnsi="Times New Roman"/>
          <w:color w:val="333333"/>
          <w:sz w:val="18"/>
          <w:szCs w:val="18"/>
        </w:rPr>
        <w:t xml:space="preserve">Chaturvedi, N., Shanker, S., Singh, V. K., Sinha, D., &amp; Pandey, P. N. (2011). Hidden Markov model for the prediction of transmembrane proteins using MATLAB. Bioinformation, 7(8), 418–421. https://doi.org/10.6026/97320630007418</w:t>
      </w:r>
    </w:p>
    <w:p>
      <w:pPr>
        <w:spacing w:after="80"/>
        <w:ind w:left="360" w:hanging="360"/>
        <w:jc w:val="both"/>
      </w:pPr>
      <w:r>
        <w:rPr>
          <w:rFonts w:ascii="Times New Roman" w:cs="Times New Roman" w:eastAsia="Times New Roman" w:hAnsi="Times New Roman"/>
          <w:color w:val="333333"/>
          <w:sz w:val="18"/>
          <w:szCs w:val="18"/>
        </w:rPr>
        <w:t xml:space="preserve">Debela, D. T., Muzazu, S. G., Heraro, K. D., Ndalama, M. T., Mesele, B. W., Haile, D. C., Kitui, S. K., &amp; Manyazewal, T. (2021). New approaches and procedures for cancer treatment: Current perspectives. SAGE Open Medicine, 9, 20503121211034366. https://doi.org/10.1177/20503121211034366</w:t>
      </w:r>
    </w:p>
    <w:p>
      <w:pPr>
        <w:spacing w:after="80"/>
        <w:ind w:left="360" w:hanging="360"/>
        <w:jc w:val="both"/>
      </w:pPr>
      <w:r>
        <w:rPr>
          <w:rFonts w:ascii="Times New Roman" w:cs="Times New Roman" w:eastAsia="Times New Roman" w:hAnsi="Times New Roman"/>
          <w:color w:val="333333"/>
          <w:sz w:val="18"/>
          <w:szCs w:val="18"/>
        </w:rPr>
        <w:t xml:space="preserve">Earthjustice. (2022, October 3). Cancer-causing chemical in the water: New report details risk. https://earthjustice.org/press/2011/cancer-causing-chemical-in-the-water-new-report-details-risk</w:t>
      </w:r>
    </w:p>
    <w:p>
      <w:pPr>
        <w:spacing w:after="80"/>
        <w:ind w:left="360" w:hanging="360"/>
        <w:jc w:val="both"/>
      </w:pPr>
      <w:r>
        <w:rPr>
          <w:rFonts w:ascii="Times New Roman" w:cs="Times New Roman" w:eastAsia="Times New Roman" w:hAnsi="Times New Roman"/>
          <w:color w:val="333333"/>
          <w:sz w:val="18"/>
          <w:szCs w:val="18"/>
        </w:rPr>
        <w:t xml:space="preserve">Gondhowiardjo, S., Christina, N., Ganapati, N. P., et al. (2021). Five-year cancer epidemiology at the National Referral Hospital: Hospital-based cancer registry data in Indonesia. JCO Global Oncology, 7(7), 190–203. https://doi.org/10.1200/go.20.00155</w:t>
      </w:r>
    </w:p>
    <w:p>
      <w:pPr>
        <w:spacing w:after="80"/>
        <w:ind w:left="360" w:hanging="360"/>
        <w:jc w:val="both"/>
      </w:pPr>
      <w:r>
        <w:rPr>
          <w:rFonts w:ascii="Times New Roman" w:cs="Times New Roman" w:eastAsia="Times New Roman" w:hAnsi="Times New Roman"/>
          <w:color w:val="333333"/>
          <w:sz w:val="18"/>
          <w:szCs w:val="18"/>
        </w:rPr>
        <w:t xml:space="preserve">Hsu, C., Yang, S., Wang, J., Yu, H., &amp; Lin, S. (1999). Mutational spectrum of p53 gene in arsenic-related skin cancers from the blackfoot disease endemic area of Taiwan. British Journal of Cancer, 80(7), 1080–1086. https://doi.org/10.1038/sj.bjc.6690467</w:t>
      </w:r>
    </w:p>
    <w:p>
      <w:pPr>
        <w:spacing w:after="80"/>
        <w:ind w:left="360" w:hanging="360"/>
        <w:jc w:val="both"/>
      </w:pPr>
      <w:r>
        <w:rPr>
          <w:rFonts w:ascii="Times New Roman" w:cs="Times New Roman" w:eastAsia="Times New Roman" w:hAnsi="Times New Roman"/>
          <w:color w:val="333333"/>
          <w:sz w:val="18"/>
          <w:szCs w:val="18"/>
        </w:rPr>
        <w:t xml:space="preserve">Krogh, A., Larsson, B., Von Heijne, G., &amp; Sonnhammer, E. L. (2001). Predicting transmembrane protein topology with a hidden Markov model: Application to complete genomes. Journal of Molecular Biology, 305(3), 567–580. https://doi.org/10.1006/jmbi.2000.4315</w:t>
      </w:r>
    </w:p>
    <w:p>
      <w:pPr>
        <w:spacing w:after="80"/>
        <w:ind w:left="360" w:hanging="360"/>
        <w:jc w:val="both"/>
      </w:pPr>
      <w:r>
        <w:rPr>
          <w:rFonts w:ascii="Times New Roman" w:cs="Times New Roman" w:eastAsia="Times New Roman" w:hAnsi="Times New Roman"/>
          <w:color w:val="333333"/>
          <w:sz w:val="18"/>
          <w:szCs w:val="18"/>
        </w:rPr>
        <w:t xml:space="preserve">Lei, T., Wang, Y., Zhang, Y., et al. (2024). Leveraging CRISPR gene editing technology to optimize the efficacy, safety and accessibility of CAR T-cell therapy. Leukemia, 38(12), 2517–2543. https://doi.org/10.1038/s41375-024-02444-y</w:t>
      </w:r>
    </w:p>
    <w:p>
      <w:pPr>
        <w:spacing w:after="80"/>
        <w:ind w:left="360" w:hanging="360"/>
        <w:jc w:val="both"/>
      </w:pPr>
      <w:r>
        <w:rPr>
          <w:rFonts w:ascii="Times New Roman" w:cs="Times New Roman" w:eastAsia="Times New Roman" w:hAnsi="Times New Roman"/>
          <w:color w:val="333333"/>
          <w:sz w:val="18"/>
          <w:szCs w:val="18"/>
        </w:rPr>
        <w:t xml:space="preserve">Luby, S. (2008). Water quality in South Asia. PMC2740663. https://pmc.ncbi.nlm.nih.gov/articles/PMC2740663/</w:t>
      </w:r>
    </w:p>
    <w:p>
      <w:pPr>
        <w:spacing w:after="80"/>
        <w:ind w:left="360" w:hanging="360"/>
        <w:jc w:val="both"/>
      </w:pPr>
      <w:r>
        <w:rPr>
          <w:rFonts w:ascii="Times New Roman" w:cs="Times New Roman" w:eastAsia="Times New Roman" w:hAnsi="Times New Roman"/>
          <w:color w:val="333333"/>
          <w:sz w:val="18"/>
          <w:szCs w:val="18"/>
        </w:rPr>
        <w:t xml:space="preserve">Malkin, D. (2011). Li-Fraumeni Syndrome. Genes &amp; Cancer, 2(4), 475–484. https://doi.org/10.1177/1947601911413466</w:t>
      </w:r>
    </w:p>
    <w:p>
      <w:pPr>
        <w:spacing w:after="80"/>
        <w:ind w:left="360" w:hanging="360"/>
        <w:jc w:val="both"/>
      </w:pPr>
      <w:r>
        <w:rPr>
          <w:rFonts w:ascii="Times New Roman" w:cs="Times New Roman" w:eastAsia="Times New Roman" w:hAnsi="Times New Roman"/>
          <w:color w:val="333333"/>
          <w:sz w:val="18"/>
          <w:szCs w:val="18"/>
        </w:rPr>
        <w:t xml:space="preserve">NCI Dictionary of Cancer Terms. (n.d.). Cancer.gov. https://www.cancer.gov/publications/dictionaries/cancer-terms/def/cancer</w:t>
      </w:r>
    </w:p>
    <w:p>
      <w:pPr>
        <w:spacing w:after="80"/>
        <w:ind w:left="360" w:hanging="360"/>
        <w:jc w:val="both"/>
      </w:pPr>
      <w:r>
        <w:rPr>
          <w:rFonts w:ascii="Times New Roman" w:cs="Times New Roman" w:eastAsia="Times New Roman" w:hAnsi="Times New Roman"/>
          <w:color w:val="333333"/>
          <w:sz w:val="18"/>
          <w:szCs w:val="18"/>
        </w:rPr>
        <w:t xml:space="preserve">Ng, C. J., Teo, C. H., Abdullah, N., Tan, W. P., &amp; Tan, H. M. (2015). Relationships between cancer pattern, country income and geographical region in Asia. BMC Cancer, 15(1), 613. https://doi.org/10.1186/s12885-015-1615-0</w:t>
      </w:r>
    </w:p>
    <w:p>
      <w:pPr>
        <w:spacing w:after="80"/>
        <w:ind w:left="360" w:hanging="360"/>
        <w:jc w:val="both"/>
      </w:pPr>
      <w:r>
        <w:rPr>
          <w:rFonts w:ascii="Times New Roman" w:cs="Times New Roman" w:eastAsia="Times New Roman" w:hAnsi="Times New Roman"/>
          <w:color w:val="333333"/>
          <w:sz w:val="18"/>
          <w:szCs w:val="18"/>
        </w:rPr>
        <w:t xml:space="preserve">Pouladi, N., Khosroshahi, N. S., Valipour, M., &amp; Abdolahi, S. (2021). p53 mutation possibility and food dietary containing heavy metals. JKMU. https://doi.org/10.22062/jkmu.2021.91837</w:t>
      </w:r>
    </w:p>
    <w:p>
      <w:pPr>
        <w:spacing w:after="80"/>
        <w:ind w:left="360" w:hanging="360"/>
        <w:jc w:val="both"/>
      </w:pPr>
      <w:r>
        <w:rPr>
          <w:rFonts w:ascii="Times New Roman" w:cs="Times New Roman" w:eastAsia="Times New Roman" w:hAnsi="Times New Roman"/>
          <w:color w:val="333333"/>
          <w:sz w:val="18"/>
          <w:szCs w:val="18"/>
        </w:rPr>
        <w:t xml:space="preserve">Rabaan, A. A., AlSaihati, H., Bukhamsin, R., et al. (2023). Application of CRISPR/CAS9 technology in cancer treatment: A future direction. Current Oncology, 30(2), 1954–1976. https://doi.org/10.3390/curroncol30020152</w:t>
      </w:r>
    </w:p>
    <w:p>
      <w:pPr>
        <w:spacing w:after="80"/>
        <w:ind w:left="360" w:hanging="360"/>
        <w:jc w:val="both"/>
      </w:pPr>
      <w:r>
        <w:rPr>
          <w:rFonts w:ascii="Times New Roman" w:cs="Times New Roman" w:eastAsia="Times New Roman" w:hAnsi="Times New Roman"/>
          <w:color w:val="333333"/>
          <w:sz w:val="18"/>
          <w:szCs w:val="18"/>
        </w:rPr>
        <w:t xml:space="preserve">Radfard, M., Hashemi, H., Baghapour, M. A., et al. (2023). Prediction of human health risk and disability-adjusted life years induced by heavy metals exposure through drinking water in Fars Province, Iran. Scientific Reports, 13(1), 19080. https://doi.org/10.1038/s41598-023-46262-1</w:t>
      </w:r>
    </w:p>
    <w:p>
      <w:pPr>
        <w:spacing w:after="80"/>
        <w:ind w:left="360" w:hanging="360"/>
        <w:jc w:val="both"/>
      </w:pPr>
      <w:r>
        <w:rPr>
          <w:rFonts w:ascii="Times New Roman" w:cs="Times New Roman" w:eastAsia="Times New Roman" w:hAnsi="Times New Roman"/>
          <w:color w:val="333333"/>
          <w:sz w:val="18"/>
          <w:szCs w:val="18"/>
        </w:rPr>
        <w:t xml:space="preserve">Sharma, A. K., &amp; Giri, A. K. (2024). Engineering CRISPR/Cas9 therapeutics for cancer precision medicine. Frontiers in Genetics, 15, 1309175. https://doi.org/10.3389/fgene.2024.1309175</w:t>
      </w:r>
    </w:p>
    <w:p>
      <w:pPr>
        <w:spacing w:after="80"/>
        <w:ind w:left="360" w:hanging="360"/>
        <w:jc w:val="both"/>
      </w:pPr>
      <w:r>
        <w:rPr>
          <w:rFonts w:ascii="Times New Roman" w:cs="Times New Roman" w:eastAsia="Times New Roman" w:hAnsi="Times New Roman"/>
          <w:color w:val="333333"/>
          <w:sz w:val="18"/>
          <w:szCs w:val="18"/>
        </w:rPr>
        <w:t xml:space="preserve">Shorif, M. J. U., Rahman, M. A., &amp; Chowdhury, S. (2025). Heavy metal contamination in Asian drinking water: A regional assessment of health risks and disability-adjusted life years (DALYs). Human and Ecological Risk Assessment, 1–31. https://doi.org/10.1080/10807039.2025.2586579</w:t>
      </w:r>
    </w:p>
    <w:p>
      <w:pPr>
        <w:spacing w:after="80"/>
        <w:ind w:left="360" w:hanging="360"/>
        <w:jc w:val="both"/>
      </w:pPr>
      <w:r>
        <w:rPr>
          <w:rFonts w:ascii="Times New Roman" w:cs="Times New Roman" w:eastAsia="Times New Roman" w:hAnsi="Times New Roman"/>
          <w:color w:val="333333"/>
          <w:sz w:val="18"/>
          <w:szCs w:val="18"/>
        </w:rPr>
        <w:t xml:space="preserve">Tornesello, M. (2024). TP53 mutations in cancer: Molecular features and therapeutic opportunities (Review). International Journal of Molecular Medicine, 55(1). https://doi.org/10.3892/ijmm.2024.5448</w:t>
      </w:r>
    </w:p>
    <w:p>
      <w:pPr>
        <w:spacing w:after="80"/>
        <w:ind w:left="360" w:hanging="360"/>
        <w:jc w:val="both"/>
      </w:pPr>
      <w:r>
        <w:rPr>
          <w:rFonts w:ascii="Times New Roman" w:cs="Times New Roman" w:eastAsia="Times New Roman" w:hAnsi="Times New Roman"/>
          <w:color w:val="333333"/>
          <w:sz w:val="18"/>
          <w:szCs w:val="18"/>
        </w:rPr>
        <w:t xml:space="preserve">Vogelstein, B., Papadopoulos, N., Velculescu, V. E., Zhou, S., Diaz, L. A., &amp; Kinzler, K. W. (2013). Cancer genome landscapes. Science, 339(6127), 1546–1558. https://doi.org/10.1126/science.1235122</w:t>
      </w:r>
    </w:p>
    <w:p>
      <w:pPr>
        <w:spacing w:after="80"/>
        <w:ind w:left="360" w:hanging="360"/>
        <w:jc w:val="both"/>
      </w:pPr>
      <w:r>
        <w:rPr>
          <w:rFonts w:ascii="Times New Roman" w:cs="Times New Roman" w:eastAsia="Times New Roman" w:hAnsi="Times New Roman"/>
          <w:color w:val="333333"/>
          <w:sz w:val="18"/>
          <w:szCs w:val="18"/>
        </w:rPr>
        <w:t xml:space="preserve">World Health Organization. (2007). Cancer risk factors. Cancer Control: Knowledge Into Action. NCBI Bookshelf. https://www.ncbi.nlm.nih.gov/books/NBK195369/</w:t>
      </w:r>
    </w:p>
    <w:p>
      <w:pPr>
        <w:spacing w:after="80"/>
        <w:ind w:left="360" w:hanging="360"/>
        <w:jc w:val="both"/>
      </w:pPr>
      <w:r>
        <w:rPr>
          <w:rFonts w:ascii="Times New Roman" w:cs="Times New Roman" w:eastAsia="Times New Roman" w:hAnsi="Times New Roman"/>
          <w:color w:val="333333"/>
          <w:sz w:val="18"/>
          <w:szCs w:val="18"/>
        </w:rPr>
        <w:t xml:space="preserve">World Health Organization: WHO. (2025, February 3). Cancer. https://www.who.int/news-room/fact-sheets/detail/cancer</w:t>
      </w:r>
    </w:p>
    <w:p>
      <w:pPr>
        <w:spacing w:after="0" w:before="0"/>
      </w:pPr>
      <w:r>
        <w:t xml:space="preserve"/>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3a5c" w:sz="2" w:space="6"/>
      </w:pBdr>
      <w:tabs>
        <w:tab w:val="right" w:pos="9026"/>
      </w:tabs>
      <w:spacing w:before="80"/>
    </w:pPr>
    <w:r>
      <w:rPr>
        <w:rFonts w:ascii="Arial" w:cs="Arial" w:eastAsia="Arial" w:hAnsi="Arial"/>
        <w:color w:val="555555"/>
        <w:sz w:val="16"/>
        <w:szCs w:val="16"/>
      </w:rPr>
      <w:t xml:space="preserve">© 2026 Future Science Association. All rights reserved.</w:t>
    </w:r>
    <w:r>
      <w:rPr>
        <w:rFonts w:ascii="Arial" w:cs="Arial" w:eastAsia="Arial" w:hAnsi="Arial"/>
        <w:color w:val="555555"/>
        <w:sz w:val="16"/>
        <w:szCs w:val="16"/>
      </w:rPr>
      <w:t xml:space="preserve">	Page </w:t>
    </w:r>
    <w:r>
      <w:rPr>
        <w:rFonts w:ascii="Arial" w:cs="Arial" w:eastAsia="Arial" w:hAnsi="Arial"/>
        <w:color w:val="555555"/>
        <w:sz w:val="16"/>
        <w:szCs w:val="16"/>
      </w:rPr>
      <type>number</typ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a5c" w:sz="3" w:space="6"/>
      </w:pBdr>
      <w:tabs>
        <w:tab w:val="right" w:pos="9026"/>
      </w:tabs>
      <w:spacing w:after="0"/>
    </w:pPr>
    <w:r>
      <w:rPr>
        <w:rFonts w:ascii="Arial" w:cs="Arial" w:eastAsia="Arial" w:hAnsi="Arial"/>
        <w:color w:val="1a3a5c"/>
        <w:sz w:val="16"/>
        <w:szCs w:val="16"/>
      </w:rPr>
      <w:t xml:space="preserve">The Future Biology  |  Future Science Association</w:t>
    </w:r>
    <w:r>
      <w:rPr>
        <w:sz w:val="16"/>
        <w:szCs w:val="16"/>
      </w:rPr>
      <w:t xml:space="preserve">	</w:t>
    </w:r>
    <w:r>
      <w:rPr>
        <w:rFonts w:ascii="Arial" w:cs="Arial" w:eastAsia="Arial" w:hAnsi="Arial"/>
        <w:color w:val="555555"/>
        <w:sz w:val="16"/>
        <w:szCs w:val="16"/>
      </w:rPr>
      <w:t xml:space="preserve">ISSN: 2709-XXXX  |  DOI: 10.37229/fsa.fjb.2026.06.30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2026-06-17T14:36:49.274Z</dcterms:created>
  <dcterms:modified xsi:type="dcterms:W3CDTF">2026-06-17T14:36:49.275Z</dcterms:modified>
</cp:coreProperties>
</file>

<file path=docProps/custom.xml><?xml version="1.0" encoding="utf-8"?>
<Properties xmlns="http://schemas.openxmlformats.org/officeDocument/2006/custom-properties" xmlns:vt="http://schemas.openxmlformats.org/officeDocument/2006/docPropsVTypes"/>
</file>